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黑体"/>
          <w:bCs/>
          <w:kern w:val="0"/>
          <w:sz w:val="32"/>
          <w:szCs w:val="32"/>
        </w:rPr>
        <w:t>附件2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交通运输部科学研究院20</w:t>
      </w:r>
      <w:r>
        <w:rPr>
          <w:rFonts w:eastAsia="黑体"/>
          <w:b/>
          <w:bCs/>
          <w:kern w:val="0"/>
          <w:sz w:val="32"/>
          <w:szCs w:val="32"/>
        </w:rPr>
        <w:t>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招聘报名登记表</w:t>
      </w:r>
    </w:p>
    <w:tbl>
      <w:tblPr>
        <w:tblStyle w:val="2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“2023年度全国普通高校全日制统招统分的全脱产应届毕业生”）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OTY5NDA2ZWJiMDRjNTNhMjVhMDc1Y2FlMGM5NDUifQ=="/>
  </w:docVars>
  <w:rsids>
    <w:rsidRoot w:val="089C04B6"/>
    <w:rsid w:val="089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2022-10-31T02:32:00Z</dcterms:created>
  <dc:creator>张甜甜</dc:creator>
  <cp:lastModifiedBy>张甜甜</cp:lastModifiedBy>
  <dcterms:modified xsi:type="dcterms:W3CDTF">2022-10-31T02:33:08Z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D69BF23FCF5C4A86BAD66BBD979AC2BB</vt:lpwstr>
  </property>
</Properties>
</file>